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附件1：        </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昆明理工教育发展有限公司2018kg</w:t>
      </w:r>
      <w:r>
        <w:rPr>
          <w:rFonts w:hint="eastAsia" w:ascii="黑体" w:hAnsi="黑体" w:eastAsia="黑体"/>
          <w:color w:val="000000" w:themeColor="text1"/>
          <w:sz w:val="32"/>
          <w:szCs w:val="32"/>
          <w:lang w:val="en-US" w:eastAsia="zh-CN"/>
          <w14:textFill>
            <w14:solidFill>
              <w14:schemeClr w14:val="tx1"/>
            </w14:solidFill>
          </w14:textFill>
        </w:rPr>
        <w:t>yj001</w:t>
      </w:r>
      <w:r>
        <w:rPr>
          <w:rFonts w:hint="eastAsia" w:ascii="黑体" w:hAnsi="黑体" w:eastAsia="黑体"/>
          <w:color w:val="000000" w:themeColor="text1"/>
          <w:sz w:val="32"/>
          <w:szCs w:val="32"/>
          <w14:textFill>
            <w14:solidFill>
              <w14:schemeClr w14:val="tx1"/>
            </w14:solidFill>
          </w14:textFill>
        </w:rPr>
        <w:t>项目询价磋商文件</w:t>
      </w:r>
    </w:p>
    <w:p>
      <w:pPr>
        <w:pStyle w:val="9"/>
        <w:numPr>
          <w:ilvl w:val="0"/>
          <w:numId w:val="1"/>
        </w:numPr>
        <w:spacing w:line="360" w:lineRule="exact"/>
        <w:ind w:firstLineChars="0"/>
        <w:rPr>
          <w:rFonts w:ascii="黑体" w:hAnsi="黑体" w:eastAsia="黑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概况</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项目名称：昆明理工大学附属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p>
    <w:p>
      <w:pPr>
        <w:spacing w:line="400" w:lineRule="exact"/>
        <w:rPr>
          <w:rFonts w:hint="eastAsia" w:ascii="Arial" w:hAnsi="Arial" w:cs="Arial"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r>
        <w:rPr>
          <w:rFonts w:hint="eastAsia" w:ascii="Arial" w:hAnsi="Arial" w:cs="Arial"/>
          <w:color w:val="000000" w:themeColor="text1"/>
          <w:sz w:val="24"/>
          <w:szCs w:val="24"/>
          <w14:textFill>
            <w14:solidFill>
              <w14:schemeClr w14:val="tx1"/>
            </w14:solidFill>
          </w14:textFill>
        </w:rPr>
        <w:t>2018kg</w:t>
      </w:r>
      <w:r>
        <w:rPr>
          <w:rFonts w:hint="eastAsia" w:ascii="Arial" w:hAnsi="Arial" w:cs="Arial"/>
          <w:color w:val="000000" w:themeColor="text1"/>
          <w:sz w:val="24"/>
          <w:szCs w:val="24"/>
          <w:lang w:val="en-US" w:eastAsia="zh-CN"/>
          <w14:textFill>
            <w14:solidFill>
              <w14:schemeClr w14:val="tx1"/>
            </w14:solidFill>
          </w14:textFill>
        </w:rPr>
        <w:t>yj001</w:t>
      </w:r>
    </w:p>
    <w:p>
      <w:pPr>
        <w:spacing w:line="400" w:lineRule="exact"/>
        <w:rPr>
          <w:rFonts w:ascii="宋体" w:hAnsi="宋体"/>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交货期：供应商自报最短交货期。</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4.交货地点：采购人指定地点。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5.资金来源：已落实。</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6.采购预算：玖万</w:t>
      </w:r>
      <w:r>
        <w:rPr>
          <w:rFonts w:hint="eastAsia" w:ascii="宋体" w:hAnsi="宋体"/>
          <w:color w:val="000000" w:themeColor="text1"/>
          <w:sz w:val="24"/>
          <w:szCs w:val="24"/>
          <w:lang w:eastAsia="zh-CN"/>
          <w14:textFill>
            <w14:solidFill>
              <w14:schemeClr w14:val="tx1"/>
            </w14:solidFill>
          </w14:textFill>
        </w:rPr>
        <w:t>捌</w:t>
      </w:r>
      <w:r>
        <w:rPr>
          <w:rFonts w:hint="eastAsia" w:ascii="宋体" w:hAnsi="宋体"/>
          <w:color w:val="000000" w:themeColor="text1"/>
          <w:sz w:val="24"/>
          <w:szCs w:val="24"/>
          <w14:textFill>
            <w14:solidFill>
              <w14:schemeClr w14:val="tx1"/>
            </w14:solidFill>
          </w14:textFill>
        </w:rPr>
        <w:t>仟元整（￥9</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000.00元）。</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7.公告的媒体:本项目询价公告在《昆明理工大学校园网》（www.kmust.edu.cn）和《昆明理工教育发展有限公司网》（www.jyfz.kmust.edu.cn）上发布。</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000000" w:themeColor="text1"/>
          <w:sz w:val="24"/>
          <w:szCs w:val="24"/>
          <w14:textFill>
            <w14:solidFill>
              <w14:schemeClr w14:val="tx1"/>
            </w14:solidFill>
          </w14:textFill>
        </w:rPr>
        <w:t>1.</w:t>
      </w:r>
      <w:bookmarkStart w:id="0" w:name="_Toc491424396"/>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采购询价项目的物品规格和具体参数见表1.1。</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表1.昆明理工大学附属</w:t>
      </w:r>
      <w:r>
        <w:rPr>
          <w:rFonts w:hint="eastAsia" w:ascii="宋体" w:hAnsi="宋体"/>
          <w:b/>
          <w:bCs/>
          <w:color w:val="000000" w:themeColor="text1"/>
          <w:szCs w:val="21"/>
          <w:lang w:eastAsia="zh-CN"/>
          <w14:textFill>
            <w14:solidFill>
              <w14:schemeClr w14:val="tx1"/>
            </w14:solidFill>
          </w14:textFill>
        </w:rPr>
        <w:t>幼儿园被褥</w:t>
      </w:r>
      <w:r>
        <w:rPr>
          <w:rFonts w:hint="eastAsia" w:ascii="宋体" w:hAnsi="宋体"/>
          <w:b/>
          <w:bCs/>
          <w:color w:val="000000" w:themeColor="text1"/>
          <w:szCs w:val="21"/>
          <w14:textFill>
            <w14:solidFill>
              <w14:schemeClr w14:val="tx1"/>
            </w14:solidFill>
          </w14:textFill>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926"/>
        <w:gridCol w:w="3267"/>
        <w:gridCol w:w="74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产品（项目）名称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规格（技术参数、性能要求）</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（每行最多1000个汉字）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计量</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单价</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总价</w:t>
            </w:r>
          </w:p>
        </w:tc>
      </w:tr>
      <w:tr>
        <w:tblPrEx>
          <w:tblLayout w:type="fixed"/>
          <w:tblCellMar>
            <w:top w:w="15" w:type="dxa"/>
            <w:left w:w="15" w:type="dxa"/>
            <w:bottom w:w="15" w:type="dxa"/>
            <w:right w:w="15" w:type="dxa"/>
          </w:tblCellMar>
        </w:tblPrEx>
        <w:trPr>
          <w:trHeight w:val="80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1.5公斤特级棉盖被加套纱布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Tahoma" w:hAnsi="Tahoma" w:cs="Tahoma" w:eastAsiaTheme="minorEastAsia"/>
                <w:color w:val="000000" w:themeColor="text1"/>
                <w:szCs w:val="21"/>
                <w:shd w:val="clear" w:color="auto" w:fill="FFFFFF"/>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尺寸：100cm*150cm，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1.5公斤，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74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1.5公斤特级棉垫褥加套纱布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尺寸：60cm*140cm，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1.5公斤，</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8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1公斤特级棉盖被加套纱布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尺寸：100cm*150cm，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3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儿童超轻毛毯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尺寸：110cn*140cm，100%</w:t>
            </w:r>
            <w:r>
              <w:rPr>
                <w:rFonts w:hint="eastAsia" w:ascii="宋体" w:hAnsi="宋体" w:eastAsia="宋体" w:cs="宋体"/>
                <w:color w:val="000000" w:themeColor="text1"/>
                <w:szCs w:val="21"/>
                <w14:textFill>
                  <w14:solidFill>
                    <w14:schemeClr w14:val="tx1"/>
                  </w14:solidFill>
                </w14:textFill>
              </w:rPr>
              <w:t>涤纶（聚酯纤维）</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床</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164465" cy="10795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465" cy="107950"/>
                          </a:xfrm>
                          <a:prstGeom prst="rect">
                            <a:avLst/>
                          </a:prstGeom>
                          <a:noFill/>
                          <a:ln w="9525">
                            <a:noFill/>
                          </a:ln>
                        </pic:spPr>
                      </pic:pic>
                    </a:graphicData>
                  </a:graphic>
                </wp:inline>
              </w:drawing>
            </w:r>
            <w:r>
              <w:rPr>
                <w:rFonts w:hint="eastAsia" w:ascii="宋体" w:hAnsi="宋体" w:eastAsia="宋体" w:cs="宋体"/>
                <w:color w:val="000000" w:themeColor="text1"/>
                <w:kern w:val="0"/>
                <w:szCs w:val="21"/>
                <w14:textFill>
                  <w14:solidFill>
                    <w14:schemeClr w14:val="tx1"/>
                  </w14:solidFill>
                </w14:textFill>
              </w:rPr>
              <w:t>5</w:t>
            </w:r>
          </w:p>
        </w:tc>
        <w:tc>
          <w:tcPr>
            <w:tcW w:w="2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活性纯棉三件套</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尺寸：105cm*155cm，</w:t>
            </w:r>
            <w:r>
              <w:rPr>
                <w:rFonts w:hint="eastAsia" w:ascii="宋体" w:hAnsi="宋体" w:eastAsia="宋体" w:cs="宋体"/>
                <w:color w:val="000000" w:themeColor="text1"/>
                <w:szCs w:val="21"/>
                <w14:textFill>
                  <w14:solidFill>
                    <w14:schemeClr w14:val="tx1"/>
                  </w14:solidFill>
                </w14:textFill>
              </w:rPr>
              <w:t>被套 100%棉</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套</w:t>
            </w:r>
          </w:p>
        </w:tc>
        <w:tc>
          <w:tcPr>
            <w:tcW w:w="86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p>
        </w:tc>
        <w:tc>
          <w:tcPr>
            <w:tcW w:w="2926"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尺寸：60cm*145cm，</w:t>
            </w:r>
            <w:r>
              <w:rPr>
                <w:rFonts w:hint="eastAsia" w:ascii="宋体" w:hAnsi="宋体" w:eastAsia="宋体" w:cs="宋体"/>
                <w:color w:val="000000" w:themeColor="text1"/>
                <w:szCs w:val="21"/>
                <w:lang w:eastAsia="zh-CN"/>
                <w14:textFill>
                  <w14:solidFill>
                    <w14:schemeClr w14:val="tx1"/>
                  </w14:solidFill>
                </w14:textFill>
              </w:rPr>
              <w:t>垫套 100%棉，</w:t>
            </w:r>
          </w:p>
        </w:tc>
        <w:tc>
          <w:tcPr>
            <w:tcW w:w="74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86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9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292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尺寸：35cm*50cm，</w:t>
            </w:r>
            <w:r>
              <w:rPr>
                <w:rFonts w:hint="eastAsia" w:ascii="宋体" w:hAnsi="宋体" w:eastAsia="宋体" w:cs="宋体"/>
                <w:color w:val="000000" w:themeColor="text1"/>
                <w:szCs w:val="21"/>
                <w:lang w:eastAsia="zh-CN"/>
                <w14:textFill>
                  <w14:solidFill>
                    <w14:schemeClr w14:val="tx1"/>
                  </w14:solidFill>
                </w14:textFill>
              </w:rPr>
              <w:t>枕套 100%棉，</w:t>
            </w:r>
          </w:p>
        </w:tc>
        <w:tc>
          <w:tcPr>
            <w:tcW w:w="74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r>
      <w:tr>
        <w:tblPrEx>
          <w:tblLayout w:type="fixed"/>
          <w:tblCellMar>
            <w:top w:w="15" w:type="dxa"/>
            <w:left w:w="15" w:type="dxa"/>
            <w:bottom w:w="15" w:type="dxa"/>
            <w:right w:w="15" w:type="dxa"/>
          </w:tblCellMar>
        </w:tblPrEx>
        <w:trPr>
          <w:trHeight w:val="419"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棉花枕芯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尺寸：30cm*45cm，重0.3公斤，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bookmarkStart w:id="5" w:name="_GoBack"/>
            <w:bookmarkEnd w:id="5"/>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64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无纺布袋子</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免费送</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质量保证</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1.质保年限：本单位承诺对昆明理工大学附属</w:t>
      </w:r>
      <w:r>
        <w:rPr>
          <w:rFonts w:hint="eastAsia" w:ascii="宋体" w:hAnsi="宋体"/>
          <w:color w:val="000000" w:themeColor="text1"/>
          <w:sz w:val="24"/>
          <w:szCs w:val="24"/>
          <w:lang w:eastAsia="zh-CN"/>
          <w14:textFill>
            <w14:solidFill>
              <w14:schemeClr w14:val="tx1"/>
            </w14:solidFill>
          </w14:textFill>
        </w:rPr>
        <w:t>幼儿园被褥质保</w:t>
      </w:r>
      <w:r>
        <w:rPr>
          <w:rFonts w:hint="eastAsia" w:ascii="宋体" w:hAnsi="宋体"/>
          <w:color w:val="000000" w:themeColor="text1"/>
          <w:sz w:val="24"/>
          <w:szCs w:val="24"/>
          <w14:textFill>
            <w14:solidFill>
              <w14:schemeClr w14:val="tx1"/>
            </w14:solidFill>
          </w14:textFill>
        </w:rPr>
        <w:t>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2.本单位承诺对昆明理工大学附属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采购询价项目最短供货周期为</w:t>
      </w:r>
      <w:r>
        <w:rPr>
          <w:rFonts w:hint="eastAsia" w:ascii="宋体" w:hAnsi="宋体"/>
          <w:color w:val="000000" w:themeColor="text1"/>
          <w:sz w:val="24"/>
          <w:szCs w:val="24"/>
          <w:lang w:eastAsia="zh-CN"/>
          <w14:textFill>
            <w14:solidFill>
              <w14:schemeClr w14:val="tx1"/>
            </w14:solidFill>
          </w14:textFill>
        </w:rPr>
        <w:t>合同签订后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日历天。</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3.本单位承诺</w:t>
      </w:r>
      <w:r>
        <w:rPr>
          <w:rFonts w:hint="eastAsia" w:ascii="宋体" w:hAnsi="宋体"/>
          <w:color w:val="000000" w:themeColor="text1"/>
          <w:sz w:val="24"/>
          <w:szCs w:val="24"/>
          <w:lang w:eastAsia="zh-CN"/>
          <w14:textFill>
            <w14:solidFill>
              <w14:schemeClr w14:val="tx1"/>
            </w14:solidFill>
          </w14:textFill>
        </w:rPr>
        <w:t>对</w:t>
      </w:r>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所供产品均为合格产品，且符合国家对该产品的相应国家标准和环保要求。</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本单位承诺</w:t>
      </w:r>
      <w:r>
        <w:rPr>
          <w:rFonts w:hint="eastAsia" w:ascii="宋体" w:hAnsi="宋体"/>
          <w:color w:val="000000" w:themeColor="text1"/>
          <w:sz w:val="24"/>
          <w:szCs w:val="24"/>
          <w:lang w:eastAsia="zh-CN"/>
          <w14:textFill>
            <w14:solidFill>
              <w14:schemeClr w14:val="tx1"/>
            </w14:solidFill>
          </w14:textFill>
        </w:rPr>
        <w:t>若中标</w:t>
      </w:r>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，所提供样品留样以作标准。</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本单位承诺昆明理工大学附属</w:t>
      </w:r>
      <w:r>
        <w:rPr>
          <w:rFonts w:hint="eastAsia" w:ascii="宋体" w:hAnsi="宋体"/>
          <w:color w:val="000000" w:themeColor="text1"/>
          <w:sz w:val="24"/>
          <w:szCs w:val="24"/>
          <w:lang w:eastAsia="zh-CN"/>
          <w14:textFill>
            <w14:solidFill>
              <w14:schemeClr w14:val="tx1"/>
            </w14:solidFill>
          </w14:textFill>
        </w:rPr>
        <w:t>幼儿被褥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供货</w:t>
      </w:r>
      <w:r>
        <w:rPr>
          <w:rFonts w:hint="eastAsia" w:ascii="宋体" w:hAnsi="宋体"/>
          <w:color w:val="000000" w:themeColor="text1"/>
          <w:sz w:val="24"/>
          <w:szCs w:val="24"/>
          <w:lang w:val="en-US" w:eastAsia="zh-CN"/>
          <w14:textFill>
            <w14:solidFill>
              <w14:schemeClr w14:val="tx1"/>
            </w14:solidFill>
          </w14:textFill>
        </w:rPr>
        <w:t>具体数量和颜色款式以采购方最终实际需求为准，双方确定好后签字确认。</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评标办法</w:t>
      </w:r>
    </w:p>
    <w:p>
      <w:pPr>
        <w:spacing w:line="360" w:lineRule="auto"/>
        <w:ind w:firstLine="480" w:firstLineChars="200"/>
        <w:jc w:val="left"/>
        <w:rPr>
          <w:rFonts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color w:val="000000" w:themeColor="text1"/>
          <w:sz w:val="24"/>
          <w:szCs w:val="24"/>
          <w14:textFill>
            <w14:solidFill>
              <w14:schemeClr w14:val="tx1"/>
            </w14:solidFill>
          </w14:textFill>
        </w:rPr>
      </w:pPr>
      <w:r>
        <w:rPr>
          <w:rFonts w:hint="eastAsia" w:hAnsi="宋体"/>
          <w:color w:val="000000" w:themeColor="text1"/>
          <w:szCs w:val="21"/>
          <w14:textFill>
            <w14:solidFill>
              <w14:schemeClr w14:val="tx1"/>
            </w14:solidFill>
          </w14:textFill>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评审得分计算公式</w:t>
            </w:r>
          </w:p>
        </w:tc>
        <w:tc>
          <w:tcPr>
            <w:tcW w:w="6360" w:type="dxa"/>
            <w:vAlign w:val="center"/>
          </w:tcPr>
          <w:p>
            <w:pPr>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评审得分满分100分，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w:t>
            </w:r>
            <w:r>
              <w:rPr>
                <w:rFonts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F1＋F2＋F3</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其中：F1、F2、F3分别为报价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3项评</w:t>
            </w:r>
            <w:r>
              <w:rPr>
                <w:rFonts w:hint="eastAsia" w:hAnsi="宋体"/>
                <w:color w:val="000000" w:themeColor="text1"/>
                <w:szCs w:val="21"/>
                <w14:textFill>
                  <w14:solidFill>
                    <w14:schemeClr w14:val="tx1"/>
                  </w14:solidFill>
                </w14:textFill>
              </w:rPr>
              <w:t>审</w:t>
            </w:r>
            <w:r>
              <w:rPr>
                <w:rFonts w:hAnsi="宋体"/>
                <w:color w:val="000000" w:themeColor="text1"/>
                <w:szCs w:val="21"/>
                <w14:textFill>
                  <w14:solidFill>
                    <w14:schemeClr w14:val="tx1"/>
                  </w14:solidFill>
                </w14:textFill>
              </w:rPr>
              <w:t>因素的汇总得分</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评审因素权重</w:t>
            </w:r>
          </w:p>
        </w:tc>
        <w:tc>
          <w:tcPr>
            <w:tcW w:w="6360"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F1</w:t>
            </w:r>
            <w:r>
              <w:rPr>
                <w:rFonts w:hint="eastAsia" w:hAnsi="宋体"/>
                <w:color w:val="000000" w:themeColor="text1"/>
                <w:szCs w:val="21"/>
                <w14:textFill>
                  <w14:solidFill>
                    <w14:schemeClr w14:val="tx1"/>
                  </w14:solidFill>
                </w14:textFill>
              </w:rPr>
              <w:t>满分70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2满分25</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3满分5</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3）报价评分F1（满分70分）</w:t>
            </w:r>
          </w:p>
        </w:tc>
        <w:tc>
          <w:tcPr>
            <w:tcW w:w="6360" w:type="dxa"/>
            <w:tcBorders>
              <w:bottom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磋商报价得分=（磋商基准价/最后磋商报价）×价格权值×100</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其中价格权值为0.7</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4）技术部分评分F2（满分25分）</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1）产品参数的响应程度评审评分（满分15分）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第一个档次[13-15]分：技术指标、参数满足或优于竞争性磋商文件规定的相应技术指标、参数的，且所选产品品牌信誉度、市场影响力较好；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第二个档次[10-12]分：技术指标、参数满足竞争性磋商文件规定的相应技术指标、参数的，且产品知名度、信誉度好，有一定市场影响力；</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第三个档次[7-9]分：技术指标、参数部分满足竞争性磋商文件规定的相应技术指标、参数的，但产品知名度、信誉度、市场影响力较差；</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2）质量承诺评审评分（满分10分）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第一个档次（8-10分）：质量保证及承诺优，措施完善，对货物出现问题有应对措施及处理办法；</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第二个档次（5-7分）：质量保证及承诺良好，措施基本完善；</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第三个档次（1-4分）：质量保证及承诺一般；</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 xml:space="preserve"> 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3(满分5</w:t>
            </w:r>
            <w:r>
              <w:rPr>
                <w:rFonts w:hAnsi="宋体"/>
                <w:color w:val="000000" w:themeColor="text1"/>
                <w:szCs w:val="21"/>
                <w14:textFill>
                  <w14:solidFill>
                    <w14:schemeClr w14:val="tx1"/>
                  </w14:solidFill>
                </w14:textFill>
              </w:rPr>
              <w:t>分</w:t>
            </w:r>
            <w:r>
              <w:rPr>
                <w:rFonts w:hint="eastAsia" w:hAnsi="宋体"/>
                <w:color w:val="000000" w:themeColor="text1"/>
                <w:szCs w:val="21"/>
                <w14:textFill>
                  <w14:solidFill>
                    <w14:schemeClr w14:val="tx1"/>
                  </w14:solidFill>
                </w14:textFill>
              </w:rPr>
              <w:t>)</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1)交货（服务）方案及时间进度计划安排评审评分（满分3分）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第一个档次（3分）：交货（服务）方案内容完整、交货期短、安排合理、切实可行、科学规范、针对性好；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第二个档次（2分）：交货（服务）方案内容较完整、交货期较短、安排较合理、针对性较好；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2）供应商类似案例评审评分（满分2分）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根据供应商2015年至本项目响应文件提交截止时间前已完成或正在实施过程中的类似案例进行评价打分，每提供一个类似案例得0.5分，加满为止。</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color w:val="000000" w:themeColor="text1"/>
          <w:sz w:val="24"/>
          <w:szCs w:val="24"/>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合同书样式及主要条款</w:t>
      </w:r>
    </w:p>
    <w:p>
      <w:pPr>
        <w:pStyle w:val="2"/>
        <w:spacing w:line="500" w:lineRule="exact"/>
        <w:ind w:firstLine="480" w:firstLineChars="200"/>
        <w:jc w:val="both"/>
        <w:rPr>
          <w:rFonts w:ascii="宋体" w:hAnsi="宋体"/>
          <w:b w:val="0"/>
          <w:bCs w:val="0"/>
          <w:color w:val="000000" w:themeColor="text1"/>
          <w:kern w:val="2"/>
          <w:sz w:val="24"/>
          <w:szCs w:val="24"/>
          <w14:textFill>
            <w14:solidFill>
              <w14:schemeClr w14:val="tx1"/>
            </w14:solidFill>
          </w14:textFill>
        </w:rPr>
      </w:pPr>
      <w:bookmarkStart w:id="1" w:name="_Toc481694842"/>
      <w:bookmarkStart w:id="2" w:name="_Toc488633613"/>
      <w:bookmarkStart w:id="3" w:name="_Toc494043327"/>
      <w:bookmarkStart w:id="4" w:name="_Toc213141091"/>
      <w:r>
        <w:rPr>
          <w:rFonts w:hint="eastAsia" w:ascii="宋体" w:hAnsi="宋体"/>
          <w:b w:val="0"/>
          <w:bCs w:val="0"/>
          <w:color w:val="000000" w:themeColor="text1"/>
          <w:kern w:val="2"/>
          <w:sz w:val="24"/>
          <w:szCs w:val="24"/>
          <w14:textFill>
            <w14:solidFill>
              <w14:schemeClr w14:val="tx1"/>
            </w14:solidFill>
          </w14:textFill>
        </w:rPr>
        <w:t>合同书样式及主要条款见表5.1合同条款前附表</w:t>
      </w:r>
      <w:bookmarkEnd w:id="1"/>
      <w:bookmarkEnd w:id="2"/>
      <w:bookmarkEnd w:id="3"/>
      <w:bookmarkEnd w:id="4"/>
      <w:r>
        <w:rPr>
          <w:rFonts w:hint="eastAsia" w:ascii="宋体" w:hAnsi="宋体"/>
          <w:b w:val="0"/>
          <w:bCs w:val="0"/>
          <w:color w:val="000000" w:themeColor="text1"/>
          <w:kern w:val="2"/>
          <w:sz w:val="24"/>
          <w:szCs w:val="24"/>
          <w14:textFill>
            <w14:solidFill>
              <w14:schemeClr w14:val="tx1"/>
            </w14:solidFill>
          </w14:textFill>
        </w:rPr>
        <w:t>。</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序号</w:t>
            </w:r>
          </w:p>
        </w:tc>
        <w:tc>
          <w:tcPr>
            <w:tcW w:w="8254" w:type="dxa"/>
            <w:vAlign w:val="center"/>
          </w:tcPr>
          <w:p>
            <w:pPr>
              <w:pStyle w:val="3"/>
              <w:ind w:firstLine="211" w:firstLineChars="10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交货时间：中标后合同签订后</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个工作日内昆明理工大学附属</w:t>
            </w:r>
            <w:r>
              <w:rPr>
                <w:rFonts w:hint="eastAsia" w:hAnsi="宋体"/>
                <w:color w:val="000000" w:themeColor="text1"/>
                <w:sz w:val="22"/>
                <w:szCs w:val="21"/>
                <w:lang w:eastAsia="zh-CN"/>
                <w14:textFill>
                  <w14:solidFill>
                    <w14:schemeClr w14:val="tx1"/>
                  </w14:solidFill>
                </w14:textFill>
              </w:rPr>
              <w:t>幼儿园被褥</w:t>
            </w:r>
            <w:r>
              <w:rPr>
                <w:rFonts w:hint="eastAsia" w:hAnsi="宋体"/>
                <w:color w:val="000000" w:themeColor="text1"/>
                <w:sz w:val="22"/>
                <w:szCs w:val="21"/>
                <w14:textFill>
                  <w14:solidFill>
                    <w14:schemeClr w14:val="tx1"/>
                  </w14:solidFill>
                </w14:textFill>
              </w:rPr>
              <w:t>采购询价项目</w:t>
            </w:r>
            <w:r>
              <w:rPr>
                <w:rFonts w:hint="eastAsia" w:hAnsi="宋体"/>
                <w:color w:val="000000" w:themeColor="text1"/>
                <w:sz w:val="22"/>
                <w:szCs w:val="21"/>
                <w:lang w:eastAsia="zh-CN"/>
                <w14:textFill>
                  <w14:solidFill>
                    <w14:schemeClr w14:val="tx1"/>
                  </w14:solidFill>
                </w14:textFill>
              </w:rPr>
              <w:t>货品</w:t>
            </w:r>
            <w:r>
              <w:rPr>
                <w:rFonts w:hint="eastAsia" w:hAnsi="宋体"/>
                <w:color w:val="000000" w:themeColor="text1"/>
                <w:sz w:val="22"/>
                <w:szCs w:val="21"/>
                <w14:textFill>
                  <w14:solidFill>
                    <w14:schemeClr w14:val="tx1"/>
                  </w14:solidFill>
                </w14:textFill>
              </w:rPr>
              <w:t>送至采购人指定地点（具体时间以甲方书面通知为准），并安装调试可用。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验收及验收标准：</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1、初始验收：货品或设备到达甲方指定地点后甲方统一初验是否符合合同要求；</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2、 最终验收：乙方负责设备安装和调试完工后，甲方测试是否合格并满足合同约定，并进行资产建账；</w:t>
            </w:r>
          </w:p>
          <w:p>
            <w:pPr>
              <w:spacing w:line="400" w:lineRule="exact"/>
              <w:jc w:val="left"/>
              <w:rPr>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违约责任：</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甲方无故终止合同，导致乙方已备库存或产品已在线生产，甲方须向乙方赔偿合同约定的50%价款。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5、乙方迟交货3天，支付甲方违约罚金，金额为本次供货合同总金额的3%;</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6、乙方迟交货1周，支付甲方违约罚金，金额为本次供货合同总金额的5%;</w:t>
            </w:r>
          </w:p>
          <w:p>
            <w:pPr>
              <w:spacing w:line="400" w:lineRule="exact"/>
              <w:jc w:val="left"/>
              <w:rPr>
                <w:rFonts w:eastAsia="宋体"/>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7、乙方迟交货2周，合同终止，乙方赔偿甲方已产生合同总金额的50%。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付款方式：</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1、在最终验收和资产建账完成后，符合规范和要求，可以进入付款阶段，支付至合同金额的70%。</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2、设备正常运行3个月后方，支付至合同金额的95%。</w:t>
            </w:r>
          </w:p>
          <w:p>
            <w:pPr>
              <w:spacing w:line="440" w:lineRule="exact"/>
              <w:rPr>
                <w:rFonts w:hAnsi="宋体" w:eastAsia="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3、剩余合同金额的5%，待质保期满后无息返还</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254" w:type="dxa"/>
            <w:vAlign w:val="center"/>
          </w:tcPr>
          <w:p>
            <w:pPr>
              <w:spacing w:line="440" w:lineRule="exac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 xml:space="preserve">质保期：承诺对所售产品质保 </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 xml:space="preserve"> 年。</w:t>
            </w:r>
          </w:p>
        </w:tc>
      </w:tr>
    </w:tbl>
    <w:p>
      <w:pPr>
        <w:jc w:val="center"/>
        <w:rPr>
          <w:rFonts w:hAnsi="宋体"/>
          <w:color w:val="000000" w:themeColor="text1"/>
          <w:szCs w:val="21"/>
          <w14:textFill>
            <w14:solidFill>
              <w14:schemeClr w14:val="tx1"/>
            </w14:solidFill>
          </w14:textFill>
        </w:rPr>
      </w:pPr>
    </w:p>
    <w:p>
      <w:pPr>
        <w:pStyle w:val="9"/>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ascii="方正小标宋_GBK" w:hAnsi="Calibri" w:eastAsia="方正小标宋_GBK" w:cs="Times New Roman"/>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p>
    <w:p>
      <w:pPr>
        <w:jc w:val="left"/>
        <w:rPr>
          <w:rFonts w:ascii="方正小标宋_GBK" w:hAnsi="Calibri" w:eastAsia="方正小标宋_GBK"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0237283B"/>
    <w:rsid w:val="060646AD"/>
    <w:rsid w:val="10705355"/>
    <w:rsid w:val="185301F7"/>
    <w:rsid w:val="187375C8"/>
    <w:rsid w:val="271B5A08"/>
    <w:rsid w:val="32972250"/>
    <w:rsid w:val="39A402B5"/>
    <w:rsid w:val="3C33187E"/>
    <w:rsid w:val="42681499"/>
    <w:rsid w:val="49242D63"/>
    <w:rsid w:val="4BC23897"/>
    <w:rsid w:val="4DA930EA"/>
    <w:rsid w:val="55FE0319"/>
    <w:rsid w:val="58FC6FA3"/>
    <w:rsid w:val="5E501274"/>
    <w:rsid w:val="5F6E58DA"/>
    <w:rsid w:val="60EA6ECA"/>
    <w:rsid w:val="691A2761"/>
    <w:rsid w:val="6AE148DC"/>
    <w:rsid w:val="6BF42516"/>
    <w:rsid w:val="76F16758"/>
    <w:rsid w:val="7840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0</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2018-12-04T09:10:00Z</cp:lastPrinted>
  <dcterms:modified xsi:type="dcterms:W3CDTF">2018-12-04T09:36:15Z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